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keepNext/>
        <w:spacing w:before="0" w:after="0"/>
        <w:jc w:val="right"/>
      </w:pPr>
      <w:r>
        <w:rPr>
          <w:rFonts w:ascii="Times New Roman" w:eastAsia="Times New Roman" w:hAnsi="Times New Roman" w:cs="Times New Roman"/>
        </w:rPr>
        <w:t xml:space="preserve">№ </w:t>
      </w:r>
      <w:r>
        <w:rPr>
          <w:rFonts w:ascii="Times New Roman" w:eastAsia="Times New Roman" w:hAnsi="Times New Roman" w:cs="Times New Roman"/>
          <w:sz w:val="22"/>
          <w:szCs w:val="22"/>
        </w:rPr>
        <w:t>02-</w:t>
      </w:r>
      <w:r>
        <w:rPr>
          <w:rFonts w:ascii="Times New Roman" w:eastAsia="Times New Roman" w:hAnsi="Times New Roman" w:cs="Times New Roman"/>
          <w:sz w:val="22"/>
          <w:szCs w:val="22"/>
        </w:rPr>
        <w:t>2518</w:t>
      </w:r>
      <w:r>
        <w:rPr>
          <w:rFonts w:ascii="Times New Roman" w:eastAsia="Times New Roman" w:hAnsi="Times New Roman" w:cs="Times New Roman"/>
          <w:sz w:val="22"/>
          <w:szCs w:val="22"/>
        </w:rPr>
        <w:t>/26</w:t>
      </w:r>
      <w:r>
        <w:rPr>
          <w:rFonts w:ascii="Times New Roman" w:eastAsia="Times New Roman" w:hAnsi="Times New Roman" w:cs="Times New Roman"/>
          <w:sz w:val="22"/>
          <w:szCs w:val="22"/>
        </w:rPr>
        <w:t>13</w:t>
      </w:r>
      <w:r>
        <w:rPr>
          <w:rFonts w:ascii="Times New Roman" w:eastAsia="Times New Roman" w:hAnsi="Times New Roman" w:cs="Times New Roman"/>
          <w:sz w:val="22"/>
          <w:szCs w:val="22"/>
        </w:rPr>
        <w:t>/202</w:t>
      </w:r>
      <w:r>
        <w:rPr>
          <w:rFonts w:ascii="Times New Roman" w:eastAsia="Times New Roman" w:hAnsi="Times New Roman" w:cs="Times New Roman"/>
          <w:sz w:val="22"/>
          <w:szCs w:val="22"/>
        </w:rPr>
        <w:t>6</w:t>
      </w:r>
    </w:p>
    <w:p>
      <w:pPr>
        <w:keepNext/>
        <w:spacing w:before="0" w:after="0"/>
        <w:jc w:val="right"/>
        <w:rPr>
          <w:sz w:val="22"/>
          <w:szCs w:val="22"/>
        </w:rPr>
      </w:pPr>
    </w:p>
    <w:p>
      <w:pPr>
        <w:keepNext/>
        <w:spacing w:before="0" w:after="0"/>
        <w:jc w:val="right"/>
      </w:pPr>
    </w:p>
    <w:p>
      <w:pPr>
        <w:keepNext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Именем Российской Федерации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(резолютивная часть)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город Сургут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19 июня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>
      <w:pPr>
        <w:tabs>
          <w:tab w:val="left" w:pos="8295"/>
        </w:tabs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8"/>
          <w:szCs w:val="28"/>
        </w:rPr>
        <w:t>Айткулова Д.Б.,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секретаре </w:t>
      </w:r>
      <w:r>
        <w:rPr>
          <w:rFonts w:ascii="Times New Roman" w:eastAsia="Times New Roman" w:hAnsi="Times New Roman" w:cs="Times New Roman"/>
          <w:sz w:val="28"/>
          <w:szCs w:val="28"/>
        </w:rPr>
        <w:t>Шакура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Т.Ю.,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в открытом судебном заседании гражданское дело по иск</w:t>
      </w:r>
      <w:r>
        <w:rPr>
          <w:rFonts w:ascii="Times New Roman" w:eastAsia="Times New Roman" w:hAnsi="Times New Roman" w:cs="Times New Roman"/>
          <w:sz w:val="28"/>
          <w:szCs w:val="28"/>
        </w:rPr>
        <w:t>овому заявлению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общества с ограниченной ответственностью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Профессиональная </w:t>
      </w:r>
      <w:r>
        <w:rPr>
          <w:rFonts w:ascii="Times New Roman" w:eastAsia="Times New Roman" w:hAnsi="Times New Roman" w:cs="Times New Roman"/>
          <w:sz w:val="28"/>
          <w:szCs w:val="28"/>
        </w:rPr>
        <w:t>коллекторская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организация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</w:rPr>
        <w:t>Региональная Служба Взыскания»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sz w:val="28"/>
          <w:szCs w:val="28"/>
        </w:rPr>
        <w:t>Дагаевой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(Прохорович) Марии Ильиничне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взыскании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суммы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задолженности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договору </w:t>
      </w:r>
      <w:r>
        <w:rPr>
          <w:rFonts w:ascii="Times New Roman" w:eastAsia="Times New Roman" w:hAnsi="Times New Roman" w:cs="Times New Roman"/>
          <w:sz w:val="28"/>
          <w:szCs w:val="28"/>
        </w:rPr>
        <w:t>микрозайма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>
        <w:rPr>
          <w:rStyle w:val="cat-UserDefinedgrp-15rplc-7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22.12.2016,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также </w:t>
      </w:r>
      <w:r>
        <w:rPr>
          <w:rFonts w:ascii="Times New Roman" w:eastAsia="Times New Roman" w:hAnsi="Times New Roman" w:cs="Times New Roman"/>
          <w:sz w:val="28"/>
          <w:szCs w:val="28"/>
        </w:rPr>
        <w:t>взыскании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расходов 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оплате государственной пошлины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статьями 167, 194 - 199 Гражданского процессуального кодекса РФ, мировой судья </w:t>
      </w:r>
    </w:p>
    <w:p>
      <w:pPr>
        <w:spacing w:before="0" w:after="0"/>
        <w:ind w:firstLine="680"/>
        <w:jc w:val="both"/>
        <w:rPr>
          <w:sz w:val="28"/>
          <w:szCs w:val="28"/>
        </w:rPr>
      </w:pPr>
    </w:p>
    <w:p>
      <w:pPr>
        <w:spacing w:before="0" w:after="0"/>
        <w:ind w:firstLine="680"/>
        <w:jc w:val="both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РЕШИЛ:</w:t>
      </w:r>
    </w:p>
    <w:p>
      <w:pPr>
        <w:spacing w:before="0" w:after="0"/>
        <w:ind w:firstLine="709"/>
        <w:jc w:val="both"/>
        <w:rPr>
          <w:sz w:val="28"/>
          <w:szCs w:val="28"/>
        </w:rPr>
      </w:pP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удовлетворении и</w:t>
      </w:r>
      <w:r>
        <w:rPr>
          <w:rFonts w:ascii="Times New Roman" w:eastAsia="Times New Roman" w:hAnsi="Times New Roman" w:cs="Times New Roman"/>
          <w:sz w:val="28"/>
          <w:szCs w:val="28"/>
        </w:rPr>
        <w:t>сковы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требовани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общества с ограниченной ответственностью Профессиональная </w:t>
      </w:r>
      <w:r>
        <w:rPr>
          <w:rFonts w:ascii="Times New Roman" w:eastAsia="Times New Roman" w:hAnsi="Times New Roman" w:cs="Times New Roman"/>
          <w:sz w:val="28"/>
          <w:szCs w:val="28"/>
        </w:rPr>
        <w:t>коллекторская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организация «Региональная Служба Взыскания»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ОГРН 1127746618768 ИНН 7707782563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sz w:val="28"/>
          <w:szCs w:val="28"/>
        </w:rPr>
        <w:t>Дагаевой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(Прохорович) Марии Ильиничне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16rplc-14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взыскании суммы задолженности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договору </w:t>
      </w:r>
      <w:r>
        <w:rPr>
          <w:rFonts w:ascii="Times New Roman" w:eastAsia="Times New Roman" w:hAnsi="Times New Roman" w:cs="Times New Roman"/>
          <w:sz w:val="28"/>
          <w:szCs w:val="28"/>
        </w:rPr>
        <w:t>микрозайма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Style w:val="cat-UserDefinedgrp-15rplc-16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22.12.201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размере 20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309 руб. 08 коп.</w:t>
      </w:r>
      <w:r>
        <w:rPr>
          <w:rFonts w:ascii="Times New Roman" w:eastAsia="Times New Roman" w:hAnsi="Times New Roman" w:cs="Times New Roman"/>
          <w:sz w:val="28"/>
          <w:szCs w:val="28"/>
        </w:rPr>
        <w:t>, а также взыскании расходов по оплате государственной пошлины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размере 4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000 руб. 00 коп.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sz w:val="27"/>
          <w:szCs w:val="27"/>
        </w:rPr>
        <w:t>отказать, в связи с истечением срока исковой давности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 сторонам, что заявление о составлении мотивированного решения суда может быть подано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Решение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городской суд Ханты-Мансийского автономного округа-Югры в течение месяца со дня принятия решения суда в окончательной форме, путём подачи апелляционной жалобы </w:t>
      </w:r>
      <w:r>
        <w:rPr>
          <w:rFonts w:ascii="Times New Roman" w:eastAsia="Times New Roman" w:hAnsi="Times New Roman" w:cs="Times New Roman"/>
          <w:sz w:val="28"/>
          <w:szCs w:val="28"/>
        </w:rPr>
        <w:t>через миро</w:t>
      </w:r>
      <w:r>
        <w:rPr>
          <w:rFonts w:ascii="Times New Roman" w:eastAsia="Times New Roman" w:hAnsi="Times New Roman" w:cs="Times New Roman"/>
          <w:sz w:val="28"/>
          <w:szCs w:val="28"/>
        </w:rPr>
        <w:t>вого судью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Сургута.</w:t>
      </w:r>
    </w:p>
    <w:p>
      <w:pPr>
        <w:spacing w:before="0" w:after="0"/>
        <w:ind w:firstLine="68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Д.Б. Айткулова</w:t>
      </w: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Копия верна</w:t>
      </w: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Д.Б. Айткулова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</w:pPr>
      <w:r>
        <w:rPr>
          <w:rFonts w:ascii="Times New Roman" w:eastAsia="Times New Roman" w:hAnsi="Times New Roman" w:cs="Times New Roman"/>
        </w:rPr>
        <w:t>19 июня</w:t>
      </w:r>
      <w:r>
        <w:rPr>
          <w:rFonts w:ascii="Times New Roman" w:eastAsia="Times New Roman" w:hAnsi="Times New Roman" w:cs="Times New Roman"/>
        </w:rPr>
        <w:t xml:space="preserve"> 202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года </w:t>
      </w:r>
    </w:p>
    <w:p>
      <w:pPr>
        <w:spacing w:before="0" w:after="0"/>
      </w:pPr>
      <w:r>
        <w:rPr>
          <w:rFonts w:ascii="Times New Roman" w:eastAsia="Times New Roman" w:hAnsi="Times New Roman" w:cs="Times New Roman"/>
        </w:rPr>
        <w:t>Подлинный документ хранится в деле № 02-</w:t>
      </w:r>
      <w:r>
        <w:rPr>
          <w:rFonts w:ascii="Times New Roman" w:eastAsia="Times New Roman" w:hAnsi="Times New Roman" w:cs="Times New Roman"/>
        </w:rPr>
        <w:t>2518</w:t>
      </w:r>
      <w:r>
        <w:rPr>
          <w:rFonts w:ascii="Times New Roman" w:eastAsia="Times New Roman" w:hAnsi="Times New Roman" w:cs="Times New Roman"/>
        </w:rPr>
        <w:t>/26</w:t>
      </w:r>
      <w:r>
        <w:rPr>
          <w:rFonts w:ascii="Times New Roman" w:eastAsia="Times New Roman" w:hAnsi="Times New Roman" w:cs="Times New Roman"/>
        </w:rPr>
        <w:t>13</w:t>
      </w:r>
      <w:r>
        <w:rPr>
          <w:rFonts w:ascii="Times New Roman" w:eastAsia="Times New Roman" w:hAnsi="Times New Roman" w:cs="Times New Roman"/>
        </w:rPr>
        <w:t>/202</w:t>
      </w:r>
      <w:r>
        <w:rPr>
          <w:rFonts w:ascii="Times New Roman" w:eastAsia="Times New Roman" w:hAnsi="Times New Roman" w:cs="Times New Roman"/>
        </w:rPr>
        <w:t>6</w:t>
      </w:r>
    </w:p>
    <w:p>
      <w:pPr>
        <w:spacing w:before="0" w:after="0"/>
      </w:pPr>
      <w:r>
        <w:rPr>
          <w:rFonts w:ascii="Times New Roman" w:eastAsia="Times New Roman" w:hAnsi="Times New Roman" w:cs="Times New Roman"/>
        </w:rPr>
        <w:t xml:space="preserve">Судебный акт не вступил в законную силу по состоянию на </w:t>
      </w:r>
      <w:r>
        <w:rPr>
          <w:rFonts w:ascii="Times New Roman" w:eastAsia="Times New Roman" w:hAnsi="Times New Roman" w:cs="Times New Roman"/>
        </w:rPr>
        <w:t>19 июня</w:t>
      </w:r>
      <w:r>
        <w:rPr>
          <w:rFonts w:ascii="Times New Roman" w:eastAsia="Times New Roman" w:hAnsi="Times New Roman" w:cs="Times New Roman"/>
        </w:rPr>
        <w:t xml:space="preserve"> 202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года</w:t>
      </w:r>
    </w:p>
    <w:sectPr>
      <w:headerReference w:type="default" r:id="rId4"/>
      <w:footerReference w:type="default" r:id="rId5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Ind w:w="1196" w:type="dxa"/>
      <w:tblBorders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tblBorders>
      <w:tblCellMar>
        <w:top w:w="0" w:type="dxa"/>
        <w:left w:w="0" w:type="dxa"/>
        <w:bottom w:w="0" w:type="dxa"/>
        <w:right w:w="0" w:type="dxa"/>
      </w:tblCellMar>
    </w:tblPr>
    <w:tblGrid>
      <w:gridCol w:w="1451"/>
      <w:gridCol w:w="1611"/>
    </w:tblGrid>
    <w:tr>
      <w:tblPrEx>
        <w:tblInd w:w="1196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0" w:type="dxa"/>
          <w:left w:w="0" w:type="dxa"/>
          <w:bottom w:w="0" w:type="dxa"/>
          <w:right w:w="0" w:type="dxa"/>
        </w:tblCellMar>
      </w:tblPrEx>
      <w:trPr>
        <w:trHeight w:hRule="exact" w:val="57"/>
      </w:trPr>
      <w:tc>
        <w:tcPr>
          <w:tcW w:w="689" w:type="dxa"/>
          <w:tcBorders>
            <w:right w:val="single" w:sz="6" w:space="0" w:color="FFFFFF"/>
          </w:tcBorders>
          <w:noWrap w:val="0"/>
          <w:tcMar>
            <w:top w:w="8" w:type="dxa"/>
            <w:left w:w="108" w:type="dxa"/>
            <w:bottom w:w="8" w:type="dxa"/>
            <w:right w:w="108" w:type="dxa"/>
          </w:tcMar>
          <w:vAlign w:val="top"/>
          <w:hideMark/>
        </w:tcPr>
        <w:p>
          <w:pPr>
            <w:spacing w:before="0" w:after="0"/>
            <w:rPr>
              <w:b w:val="0"/>
              <w:bCs w:val="0"/>
              <w:i w:val="0"/>
              <w:iCs w:val="0"/>
              <w:smallCaps w:val="0"/>
              <w:color w:val="000000"/>
            </w:rPr>
          </w:pPr>
          <w:r>
            <w:rPr>
              <w:rFonts w:ascii="Times New Roman" w:eastAsia="Times New Roman" w:hAnsi="Times New Roman" w:cs="Times New Roman"/>
              <w:b w:val="0"/>
              <w:bCs w:val="0"/>
              <w:i w:val="0"/>
              <w:iCs w:val="0"/>
              <w:smallCaps w:val="0"/>
              <w:color w:val="000000"/>
            </w:rPr>
            <w:t>http://sr-srg-pkms1/xlp7/</w:t>
          </w:r>
        </w:p>
      </w:tc>
      <w:tc>
        <w:tcPr>
          <w:tcW w:w="693" w:type="dxa"/>
          <w:tcBorders>
            <w:left w:val="single" w:sz="6" w:space="0" w:color="FFFFFF"/>
          </w:tcBorders>
          <w:noWrap w:val="0"/>
          <w:tcMar>
            <w:top w:w="8" w:type="dxa"/>
            <w:left w:w="108" w:type="dxa"/>
            <w:bottom w:w="8" w:type="dxa"/>
            <w:right w:w="108" w:type="dxa"/>
          </w:tcMar>
          <w:vAlign w:val="top"/>
          <w:hideMark/>
        </w:tcPr>
        <w:p>
          <w:pPr>
            <w:spacing w:before="0" w:after="0"/>
            <w:rPr>
              <w:b w:val="0"/>
              <w:bCs w:val="0"/>
              <w:i w:val="0"/>
              <w:iCs w:val="0"/>
              <w:smallCaps w:val="0"/>
              <w:color w:val="000000"/>
            </w:rPr>
          </w:pPr>
          <w:r>
            <w:rPr>
              <w:rFonts w:ascii="Times New Roman" w:eastAsia="Times New Roman" w:hAnsi="Times New Roman" w:cs="Times New Roman"/>
              <w:b w:val="0"/>
              <w:bCs w:val="0"/>
              <w:i w:val="0"/>
              <w:iCs w:val="0"/>
              <w:smallCaps w:val="0"/>
              <w:color w:val="000000"/>
            </w:rPr>
            <w:t>35a0e098-c1e5-4870-bfcd-c62fbdee1dd0</w:t>
          </w:r>
        </w:p>
      </w:tc>
    </w:tr>
  </w:tbl>
  <w:p>
    <w:pPr>
      <w:spacing w:before="0" w:after="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t-UserDefinedgrp-15rplc-7">
    <w:name w:val="cat-UserDefined grp-15 rplc-7"/>
    <w:basedOn w:val="DefaultParagraphFont"/>
  </w:style>
  <w:style w:type="character" w:customStyle="1" w:styleId="cat-UserDefinedgrp-16rplc-14">
    <w:name w:val="cat-UserDefined grp-16 rplc-14"/>
    <w:basedOn w:val="DefaultParagraphFont"/>
  </w:style>
  <w:style w:type="character" w:customStyle="1" w:styleId="cat-UserDefinedgrp-15rplc-16">
    <w:name w:val="cat-UserDefined grp-15 rplc-16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